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D5" w:rsidRDefault="000314D5" w:rsidP="000314D5">
      <w:pPr>
        <w:spacing w:after="0" w:line="360" w:lineRule="auto"/>
        <w:jc w:val="center"/>
        <w:rPr>
          <w:rFonts w:ascii="Arial" w:hAnsi="Arial" w:cs="Arial"/>
          <w:b/>
          <w:sz w:val="36"/>
          <w:szCs w:val="28"/>
        </w:rPr>
      </w:pPr>
      <w:r>
        <w:rPr>
          <w:rFonts w:ascii="Arial" w:hAnsi="Arial" w:cs="Arial"/>
          <w:b/>
          <w:sz w:val="36"/>
          <w:szCs w:val="28"/>
        </w:rPr>
        <w:t>Pravidla programové dotace na poskytování sociálních služeb v roce 201</w:t>
      </w:r>
      <w:r w:rsidR="001410C8">
        <w:rPr>
          <w:rFonts w:ascii="Arial" w:hAnsi="Arial" w:cs="Arial"/>
          <w:b/>
          <w:sz w:val="36"/>
          <w:szCs w:val="28"/>
        </w:rPr>
        <w:t>8</w:t>
      </w:r>
    </w:p>
    <w:p w:rsidR="000314D5" w:rsidRDefault="000314D5" w:rsidP="000314D5">
      <w:pPr>
        <w:spacing w:after="0" w:line="360" w:lineRule="auto"/>
        <w:jc w:val="center"/>
        <w:rPr>
          <w:rFonts w:ascii="Arial" w:hAnsi="Arial" w:cs="Arial"/>
          <w:b/>
          <w:sz w:val="36"/>
          <w:szCs w:val="28"/>
        </w:rPr>
      </w:pPr>
    </w:p>
    <w:p w:rsidR="000314D5" w:rsidRPr="0080213B" w:rsidRDefault="000314D5" w:rsidP="000314D5">
      <w:pPr>
        <w:pStyle w:val="Odstavecseseznamem"/>
        <w:numPr>
          <w:ilvl w:val="0"/>
          <w:numId w:val="1"/>
        </w:numPr>
        <w:spacing w:after="0" w:line="360" w:lineRule="auto"/>
        <w:jc w:val="both"/>
        <w:rPr>
          <w:rFonts w:ascii="Arial" w:eastAsia="Times New Roman" w:hAnsi="Arial" w:cs="Arial"/>
          <w:sz w:val="24"/>
          <w:szCs w:val="24"/>
          <w:lang w:eastAsia="cs-CZ"/>
        </w:rPr>
      </w:pPr>
      <w:r w:rsidRPr="008C6C01">
        <w:rPr>
          <w:rFonts w:ascii="Arial" w:eastAsia="Times New Roman" w:hAnsi="Arial" w:cs="Arial"/>
          <w:color w:val="000000"/>
          <w:sz w:val="24"/>
          <w:szCs w:val="24"/>
          <w:lang w:eastAsia="cs-CZ"/>
        </w:rPr>
        <w:t xml:space="preserve">Pravidla programové dotace </w:t>
      </w:r>
      <w:r>
        <w:rPr>
          <w:rFonts w:ascii="Arial" w:eastAsia="Times New Roman" w:hAnsi="Arial" w:cs="Arial"/>
          <w:color w:val="000000"/>
          <w:sz w:val="24"/>
          <w:szCs w:val="24"/>
          <w:lang w:eastAsia="cs-CZ"/>
        </w:rPr>
        <w:t>na poskytování sociálních služeb</w:t>
      </w:r>
      <w:r w:rsidRPr="008C6C01">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 xml:space="preserve">(dále jen „Pravidla“) </w:t>
      </w:r>
      <w:r w:rsidRPr="008C6C01">
        <w:rPr>
          <w:rFonts w:ascii="Arial" w:eastAsia="Times New Roman" w:hAnsi="Arial" w:cs="Arial"/>
          <w:color w:val="000000"/>
          <w:sz w:val="24"/>
          <w:szCs w:val="24"/>
          <w:lang w:eastAsia="cs-CZ"/>
        </w:rPr>
        <w:t>vychází z</w:t>
      </w:r>
      <w:r w:rsidR="009D3A5D">
        <w:rPr>
          <w:rFonts w:ascii="Arial" w:eastAsia="Times New Roman" w:hAnsi="Arial" w:cs="Arial"/>
          <w:color w:val="000000"/>
          <w:sz w:val="24"/>
          <w:szCs w:val="24"/>
          <w:lang w:eastAsia="cs-CZ"/>
        </w:rPr>
        <w:t> </w:t>
      </w:r>
      <w:r w:rsidRPr="008C6C01">
        <w:rPr>
          <w:rFonts w:ascii="Arial" w:eastAsia="Times New Roman" w:hAnsi="Arial" w:cs="Arial"/>
          <w:color w:val="000000"/>
          <w:sz w:val="24"/>
          <w:szCs w:val="24"/>
          <w:lang w:eastAsia="cs-CZ"/>
        </w:rPr>
        <w:t>platn</w:t>
      </w:r>
      <w:r w:rsidR="009D3A5D">
        <w:rPr>
          <w:rFonts w:ascii="Arial" w:eastAsia="Times New Roman" w:hAnsi="Arial" w:cs="Arial"/>
          <w:color w:val="000000"/>
          <w:sz w:val="24"/>
          <w:szCs w:val="24"/>
          <w:lang w:eastAsia="cs-CZ"/>
        </w:rPr>
        <w:t xml:space="preserve">ých </w:t>
      </w:r>
      <w:r w:rsidR="009D3A5D" w:rsidRPr="0080213B">
        <w:rPr>
          <w:rFonts w:ascii="Arial" w:eastAsia="Times New Roman" w:hAnsi="Arial" w:cs="Arial"/>
          <w:sz w:val="24"/>
          <w:szCs w:val="24"/>
          <w:lang w:eastAsia="cs-CZ"/>
        </w:rPr>
        <w:t>Zásad o poskytování peněžních prostředků z rozpočtu města Nymburk</w:t>
      </w:r>
      <w:r w:rsidR="0092121B" w:rsidRPr="0080213B">
        <w:rPr>
          <w:rFonts w:ascii="Arial" w:eastAsia="Times New Roman" w:hAnsi="Arial" w:cs="Arial"/>
          <w:sz w:val="24"/>
          <w:szCs w:val="24"/>
          <w:lang w:eastAsia="cs-CZ"/>
        </w:rPr>
        <w:t>,</w:t>
      </w:r>
      <w:r w:rsidRPr="0080213B">
        <w:rPr>
          <w:rFonts w:ascii="Arial" w:eastAsia="Times New Roman" w:hAnsi="Arial" w:cs="Arial"/>
          <w:sz w:val="24"/>
          <w:szCs w:val="24"/>
          <w:lang w:eastAsia="cs-CZ"/>
        </w:rPr>
        <w:t xml:space="preserve"> která byla schválena ZM Nymburk dne</w:t>
      </w:r>
      <w:r w:rsidR="009D3A5D" w:rsidRPr="0080213B">
        <w:rPr>
          <w:rFonts w:ascii="Arial" w:eastAsia="Times New Roman" w:hAnsi="Arial" w:cs="Arial"/>
          <w:sz w:val="24"/>
          <w:szCs w:val="24"/>
          <w:lang w:eastAsia="cs-CZ"/>
        </w:rPr>
        <w:t xml:space="preserve"> </w:t>
      </w:r>
      <w:proofErr w:type="gramStart"/>
      <w:r w:rsidR="009D3A5D" w:rsidRPr="0080213B">
        <w:rPr>
          <w:rFonts w:ascii="Arial" w:eastAsia="Times New Roman" w:hAnsi="Arial" w:cs="Arial"/>
          <w:sz w:val="24"/>
          <w:szCs w:val="24"/>
          <w:lang w:eastAsia="cs-CZ"/>
        </w:rPr>
        <w:t>11.11.2015</w:t>
      </w:r>
      <w:proofErr w:type="gramEnd"/>
      <w:r w:rsidR="00AB7D84">
        <w:rPr>
          <w:rFonts w:ascii="Arial" w:eastAsia="Times New Roman" w:hAnsi="Arial" w:cs="Arial"/>
          <w:sz w:val="24"/>
          <w:szCs w:val="24"/>
          <w:lang w:eastAsia="cs-CZ"/>
        </w:rPr>
        <w:t>,</w:t>
      </w:r>
      <w:r w:rsidRPr="0080213B">
        <w:rPr>
          <w:rFonts w:ascii="Arial" w:eastAsia="Times New Roman" w:hAnsi="Arial" w:cs="Arial"/>
          <w:sz w:val="24"/>
          <w:szCs w:val="24"/>
          <w:lang w:eastAsia="cs-CZ"/>
        </w:rPr>
        <w:t xml:space="preserve"> usnesením č.</w:t>
      </w:r>
      <w:r w:rsidR="002B3E84" w:rsidRPr="0080213B">
        <w:rPr>
          <w:rFonts w:ascii="Arial" w:eastAsia="Times New Roman" w:hAnsi="Arial" w:cs="Arial"/>
          <w:sz w:val="24"/>
          <w:szCs w:val="24"/>
          <w:lang w:eastAsia="cs-CZ"/>
        </w:rPr>
        <w:t xml:space="preserve"> </w:t>
      </w:r>
      <w:r w:rsidR="009D3A5D" w:rsidRPr="0080213B">
        <w:rPr>
          <w:rFonts w:ascii="Arial" w:eastAsia="Times New Roman" w:hAnsi="Arial" w:cs="Arial"/>
          <w:sz w:val="24"/>
          <w:szCs w:val="24"/>
          <w:lang w:eastAsia="cs-CZ"/>
        </w:rPr>
        <w:t>92</w:t>
      </w:r>
      <w:r w:rsidRPr="0080213B">
        <w:rPr>
          <w:rFonts w:ascii="Arial" w:eastAsia="Times New Roman" w:hAnsi="Arial" w:cs="Arial"/>
          <w:sz w:val="24"/>
          <w:szCs w:val="24"/>
          <w:lang w:eastAsia="cs-CZ"/>
        </w:rPr>
        <w:t xml:space="preserve"> (dále jen „</w:t>
      </w:r>
      <w:r w:rsidR="009D3A5D" w:rsidRPr="0080213B">
        <w:rPr>
          <w:rFonts w:ascii="Arial" w:eastAsia="Times New Roman" w:hAnsi="Arial" w:cs="Arial"/>
          <w:sz w:val="24"/>
          <w:szCs w:val="24"/>
          <w:lang w:eastAsia="cs-CZ"/>
        </w:rPr>
        <w:t>Zásady</w:t>
      </w:r>
      <w:r w:rsidRPr="0080213B">
        <w:rPr>
          <w:rFonts w:ascii="Arial" w:eastAsia="Times New Roman" w:hAnsi="Arial" w:cs="Arial"/>
          <w:sz w:val="24"/>
          <w:szCs w:val="24"/>
          <w:lang w:eastAsia="cs-CZ"/>
        </w:rPr>
        <w:t>“).</w:t>
      </w:r>
    </w:p>
    <w:p w:rsidR="000314D5" w:rsidRDefault="000314D5" w:rsidP="000314D5">
      <w:pPr>
        <w:pStyle w:val="Odstavecseseznamem"/>
        <w:numPr>
          <w:ilvl w:val="0"/>
          <w:numId w:val="1"/>
        </w:numPr>
        <w:spacing w:after="0"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Důvodem vyhlášení programových dotací na poskytování sociálních služeb v roce 201</w:t>
      </w:r>
      <w:r w:rsidR="00F2272E">
        <w:rPr>
          <w:rFonts w:ascii="Arial" w:eastAsia="Times New Roman" w:hAnsi="Arial" w:cs="Arial"/>
          <w:color w:val="000000"/>
          <w:sz w:val="24"/>
          <w:szCs w:val="24"/>
          <w:lang w:eastAsia="cs-CZ"/>
        </w:rPr>
        <w:t>8</w:t>
      </w:r>
      <w:r>
        <w:rPr>
          <w:rFonts w:ascii="Arial" w:eastAsia="Times New Roman" w:hAnsi="Arial" w:cs="Arial"/>
          <w:color w:val="000000"/>
          <w:sz w:val="24"/>
          <w:szCs w:val="24"/>
          <w:lang w:eastAsia="cs-CZ"/>
        </w:rPr>
        <w:t xml:space="preserve"> je zabezpečení minimální úrovně dostupnosti potřebné sociální péče na území města Nymburk </w:t>
      </w:r>
      <w:r w:rsidRPr="00D237C7">
        <w:rPr>
          <w:rFonts w:ascii="Arial" w:eastAsia="Times New Roman" w:hAnsi="Arial" w:cs="Arial"/>
          <w:color w:val="000000"/>
          <w:sz w:val="24"/>
          <w:szCs w:val="24"/>
          <w:lang w:eastAsia="cs-CZ"/>
        </w:rPr>
        <w:t>a uspokojování potřeb občanů města Nymburk ve smyslu ustanovení odst. 2 § 35 zákona č. 128/2000 Sb., o obcích (obecní zřízení), ve znění pozdějších předpisů a ustanovení zákona č. 108/2006 Sb., o sociálních službách, ve znění pozdějších předpisů.</w:t>
      </w:r>
      <w:r>
        <w:rPr>
          <w:rFonts w:ascii="Arial" w:eastAsia="Times New Roman" w:hAnsi="Arial" w:cs="Arial"/>
          <w:color w:val="000000"/>
          <w:sz w:val="24"/>
          <w:szCs w:val="24"/>
          <w:lang w:eastAsia="cs-CZ"/>
        </w:rPr>
        <w:t xml:space="preserve"> Dalším důvodem vyhlášení uvedené programové dotace je potřebnost naplňování Střednědobého plánu rozvoje a udržitelnosti sociálních služeb města Nymburk. </w:t>
      </w:r>
    </w:p>
    <w:p w:rsidR="000314D5" w:rsidRPr="006A7308" w:rsidRDefault="000314D5" w:rsidP="000314D5">
      <w:pPr>
        <w:pStyle w:val="Odstavecseseznamem"/>
        <w:numPr>
          <w:ilvl w:val="0"/>
          <w:numId w:val="1"/>
        </w:numPr>
        <w:spacing w:after="0" w:line="360" w:lineRule="auto"/>
        <w:jc w:val="both"/>
        <w:rPr>
          <w:rFonts w:ascii="Arial" w:eastAsia="Times New Roman" w:hAnsi="Arial" w:cs="Arial"/>
          <w:color w:val="000000"/>
          <w:sz w:val="24"/>
          <w:szCs w:val="24"/>
          <w:lang w:eastAsia="cs-CZ"/>
        </w:rPr>
      </w:pPr>
      <w:r w:rsidRPr="006A7308">
        <w:rPr>
          <w:rFonts w:ascii="Arial" w:eastAsia="Times New Roman" w:hAnsi="Arial" w:cs="Arial"/>
          <w:color w:val="000000"/>
          <w:sz w:val="24"/>
          <w:szCs w:val="24"/>
          <w:lang w:eastAsia="cs-CZ"/>
        </w:rPr>
        <w:t xml:space="preserve">Celkový objem finančních prostředků </w:t>
      </w:r>
      <w:r w:rsidR="00DC61F4">
        <w:rPr>
          <w:rFonts w:ascii="Arial" w:eastAsia="Times New Roman" w:hAnsi="Arial" w:cs="Arial"/>
          <w:color w:val="000000"/>
          <w:sz w:val="24"/>
          <w:szCs w:val="24"/>
          <w:lang w:eastAsia="cs-CZ"/>
        </w:rPr>
        <w:t>pro poskytovatele sociálních služeb zařazených do Minimální sítě sociálních služeb města Nymburk pro rok 201</w:t>
      </w:r>
      <w:r w:rsidR="00F2272E">
        <w:rPr>
          <w:rFonts w:ascii="Arial" w:eastAsia="Times New Roman" w:hAnsi="Arial" w:cs="Arial"/>
          <w:color w:val="000000"/>
          <w:sz w:val="24"/>
          <w:szCs w:val="24"/>
          <w:lang w:eastAsia="cs-CZ"/>
        </w:rPr>
        <w:t>8</w:t>
      </w:r>
      <w:r w:rsidR="00DC61F4">
        <w:rPr>
          <w:rFonts w:ascii="Arial" w:eastAsia="Times New Roman" w:hAnsi="Arial" w:cs="Arial"/>
          <w:color w:val="000000"/>
          <w:sz w:val="24"/>
          <w:szCs w:val="24"/>
          <w:lang w:eastAsia="cs-CZ"/>
        </w:rPr>
        <w:t xml:space="preserve"> činí</w:t>
      </w:r>
      <w:r w:rsidRPr="006A7308">
        <w:rPr>
          <w:rFonts w:ascii="Arial" w:eastAsia="Times New Roman" w:hAnsi="Arial" w:cs="Arial"/>
          <w:color w:val="000000"/>
          <w:sz w:val="24"/>
          <w:szCs w:val="24"/>
          <w:lang w:eastAsia="cs-CZ"/>
        </w:rPr>
        <w:t xml:space="preserve"> </w:t>
      </w:r>
      <w:r w:rsidR="004418B9">
        <w:rPr>
          <w:rFonts w:ascii="Arial" w:eastAsia="Times New Roman" w:hAnsi="Arial" w:cs="Arial"/>
          <w:color w:val="000000"/>
          <w:sz w:val="24"/>
          <w:szCs w:val="24"/>
          <w:lang w:eastAsia="cs-CZ"/>
        </w:rPr>
        <w:t xml:space="preserve">1 250 000,- </w:t>
      </w:r>
      <w:r w:rsidRPr="006A7308">
        <w:rPr>
          <w:rFonts w:ascii="Arial" w:eastAsia="Times New Roman" w:hAnsi="Arial" w:cs="Arial"/>
          <w:color w:val="000000"/>
          <w:sz w:val="24"/>
          <w:szCs w:val="24"/>
          <w:lang w:eastAsia="cs-CZ"/>
        </w:rPr>
        <w:t>Kč.</w:t>
      </w:r>
    </w:p>
    <w:p w:rsidR="000314D5" w:rsidRPr="00DA3568" w:rsidRDefault="000314D5" w:rsidP="000314D5">
      <w:pPr>
        <w:pStyle w:val="Odstavecseseznamem"/>
        <w:numPr>
          <w:ilvl w:val="0"/>
          <w:numId w:val="1"/>
        </w:numPr>
        <w:spacing w:after="0"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Maximální výše dotace na jednu registrovanou sociální službu činí</w:t>
      </w:r>
      <w:r w:rsidR="000315C2">
        <w:rPr>
          <w:rFonts w:ascii="Arial" w:eastAsia="Times New Roman" w:hAnsi="Arial" w:cs="Arial"/>
          <w:color w:val="000000"/>
          <w:sz w:val="24"/>
          <w:szCs w:val="24"/>
          <w:lang w:eastAsia="cs-CZ"/>
        </w:rPr>
        <w:t xml:space="preserve"> </w:t>
      </w:r>
      <w:r w:rsidR="000315C2" w:rsidRPr="0080213B">
        <w:rPr>
          <w:rFonts w:ascii="Arial" w:eastAsia="Times New Roman" w:hAnsi="Arial" w:cs="Arial"/>
          <w:sz w:val="24"/>
          <w:szCs w:val="24"/>
          <w:lang w:eastAsia="cs-CZ"/>
        </w:rPr>
        <w:t xml:space="preserve">250.000,- </w:t>
      </w:r>
      <w:r w:rsidRPr="0080213B">
        <w:rPr>
          <w:rFonts w:ascii="Arial" w:eastAsia="Times New Roman" w:hAnsi="Arial" w:cs="Arial"/>
          <w:sz w:val="24"/>
          <w:szCs w:val="24"/>
          <w:lang w:eastAsia="cs-CZ"/>
        </w:rPr>
        <w:t xml:space="preserve"> Kč</w:t>
      </w:r>
      <w:r w:rsidRPr="002B3E84">
        <w:rPr>
          <w:rFonts w:ascii="Arial" w:eastAsia="Times New Roman" w:hAnsi="Arial" w:cs="Arial"/>
          <w:color w:val="FF0000"/>
          <w:sz w:val="24"/>
          <w:szCs w:val="24"/>
          <w:lang w:eastAsia="cs-CZ"/>
        </w:rPr>
        <w:t xml:space="preserve"> </w:t>
      </w:r>
      <w:r>
        <w:rPr>
          <w:rFonts w:ascii="Arial" w:eastAsia="Times New Roman" w:hAnsi="Arial" w:cs="Arial"/>
          <w:color w:val="000000"/>
          <w:sz w:val="24"/>
          <w:szCs w:val="24"/>
          <w:lang w:eastAsia="cs-CZ"/>
        </w:rPr>
        <w:t>za jeden kalendářní rok. Avšak maximální výše dotace na jednu registrovanou sociální službu nesmí překročit více než</w:t>
      </w:r>
      <w:r w:rsidRPr="00DA3568">
        <w:rPr>
          <w:rFonts w:ascii="Arial" w:eastAsia="Times New Roman" w:hAnsi="Arial" w:cs="Arial"/>
          <w:color w:val="000000"/>
          <w:sz w:val="24"/>
          <w:szCs w:val="24"/>
          <w:lang w:eastAsia="cs-CZ"/>
        </w:rPr>
        <w:t xml:space="preserve"> 20 % rozpočtovaných nákladů na danou </w:t>
      </w:r>
      <w:r>
        <w:rPr>
          <w:rFonts w:ascii="Arial" w:eastAsia="Times New Roman" w:hAnsi="Arial" w:cs="Arial"/>
          <w:color w:val="000000"/>
          <w:sz w:val="24"/>
          <w:szCs w:val="24"/>
          <w:lang w:eastAsia="cs-CZ"/>
        </w:rPr>
        <w:t xml:space="preserve">sociální </w:t>
      </w:r>
      <w:r w:rsidRPr="00DA3568">
        <w:rPr>
          <w:rFonts w:ascii="Arial" w:eastAsia="Times New Roman" w:hAnsi="Arial" w:cs="Arial"/>
          <w:color w:val="000000"/>
          <w:sz w:val="24"/>
          <w:szCs w:val="24"/>
          <w:lang w:eastAsia="cs-CZ"/>
        </w:rPr>
        <w:t>službu.</w:t>
      </w:r>
    </w:p>
    <w:p w:rsidR="000314D5" w:rsidRPr="00046E4B" w:rsidRDefault="000314D5" w:rsidP="000314D5">
      <w:pPr>
        <w:numPr>
          <w:ilvl w:val="0"/>
          <w:numId w:val="1"/>
        </w:numPr>
        <w:autoSpaceDE w:val="0"/>
        <w:autoSpaceDN w:val="0"/>
        <w:adjustRightInd w:val="0"/>
        <w:spacing w:after="120" w:line="360" w:lineRule="auto"/>
        <w:jc w:val="both"/>
        <w:rPr>
          <w:rFonts w:ascii="Arial" w:eastAsia="Times New Roman" w:hAnsi="Arial" w:cs="Arial"/>
          <w:color w:val="000000"/>
          <w:sz w:val="24"/>
          <w:szCs w:val="24"/>
          <w:lang w:eastAsia="cs-CZ"/>
        </w:rPr>
      </w:pPr>
      <w:r w:rsidRPr="00046E4B">
        <w:rPr>
          <w:rFonts w:ascii="Arial" w:eastAsia="Times New Roman" w:hAnsi="Arial" w:cs="Arial"/>
          <w:color w:val="000000"/>
          <w:sz w:val="24"/>
          <w:szCs w:val="24"/>
          <w:lang w:eastAsia="cs-CZ"/>
        </w:rPr>
        <w:t>Programová dotace z rozpočtu města se poskytuje pouze registrovaným poskytovatelům sociálních služeb, kteří své registrované sociální služby poskytují na území města Nymburk</w:t>
      </w:r>
      <w:r>
        <w:rPr>
          <w:rFonts w:ascii="Arial" w:eastAsia="Times New Roman" w:hAnsi="Arial" w:cs="Arial"/>
          <w:color w:val="000000"/>
          <w:sz w:val="24"/>
          <w:szCs w:val="24"/>
          <w:lang w:eastAsia="cs-CZ"/>
        </w:rPr>
        <w:t>, kteří jsou zařazení do Minimální sítě sociálních služeb města Nymburk</w:t>
      </w:r>
      <w:r w:rsidR="00266CCE">
        <w:rPr>
          <w:rFonts w:ascii="Arial" w:eastAsia="Times New Roman" w:hAnsi="Arial" w:cs="Arial"/>
          <w:color w:val="000000"/>
          <w:sz w:val="24"/>
          <w:szCs w:val="24"/>
          <w:lang w:eastAsia="cs-CZ"/>
        </w:rPr>
        <w:t xml:space="preserve"> pro rok 201</w:t>
      </w:r>
      <w:r w:rsidR="00F2272E">
        <w:rPr>
          <w:rFonts w:ascii="Arial" w:eastAsia="Times New Roman" w:hAnsi="Arial" w:cs="Arial"/>
          <w:color w:val="000000"/>
          <w:sz w:val="24"/>
          <w:szCs w:val="24"/>
          <w:lang w:eastAsia="cs-CZ"/>
        </w:rPr>
        <w:t>8</w:t>
      </w:r>
      <w:r w:rsidRPr="00046E4B">
        <w:rPr>
          <w:rFonts w:ascii="Arial" w:eastAsia="Times New Roman" w:hAnsi="Arial" w:cs="Arial"/>
          <w:color w:val="000000"/>
          <w:sz w:val="24"/>
          <w:szCs w:val="24"/>
          <w:lang w:eastAsia="cs-CZ"/>
        </w:rPr>
        <w:t>.</w:t>
      </w:r>
      <w:r>
        <w:rPr>
          <w:rFonts w:ascii="Arial" w:eastAsia="Times New Roman" w:hAnsi="Arial" w:cs="Arial"/>
          <w:color w:val="000000"/>
          <w:sz w:val="24"/>
          <w:szCs w:val="24"/>
          <w:lang w:eastAsia="cs-CZ"/>
        </w:rPr>
        <w:t xml:space="preserve"> Podmínky pro zařazení do minimální sítě jsou upraveny samostatným dokumentem.</w:t>
      </w:r>
    </w:p>
    <w:p w:rsidR="000314D5" w:rsidRPr="00EA5F30" w:rsidRDefault="000314D5" w:rsidP="000314D5">
      <w:pPr>
        <w:numPr>
          <w:ilvl w:val="0"/>
          <w:numId w:val="1"/>
        </w:numPr>
        <w:autoSpaceDE w:val="0"/>
        <w:autoSpaceDN w:val="0"/>
        <w:adjustRightInd w:val="0"/>
        <w:spacing w:after="120"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Peněžní prostředky programové</w:t>
      </w:r>
      <w:r w:rsidRPr="00EA5F30">
        <w:rPr>
          <w:rFonts w:ascii="Arial" w:eastAsia="Times New Roman" w:hAnsi="Arial" w:cs="Arial"/>
          <w:color w:val="000000"/>
          <w:sz w:val="24"/>
          <w:szCs w:val="24"/>
          <w:lang w:eastAsia="cs-CZ"/>
        </w:rPr>
        <w:t xml:space="preserve"> dotace se poskytuje na:</w:t>
      </w:r>
    </w:p>
    <w:p w:rsidR="000314D5" w:rsidRPr="00306BDD" w:rsidRDefault="000314D5" w:rsidP="000314D5">
      <w:pPr>
        <w:pStyle w:val="Odstavecseseznamem"/>
        <w:numPr>
          <w:ilvl w:val="0"/>
          <w:numId w:val="2"/>
        </w:numPr>
        <w:spacing w:after="120" w:line="360" w:lineRule="auto"/>
        <w:jc w:val="both"/>
        <w:rPr>
          <w:rFonts w:ascii="Arial" w:hAnsi="Arial" w:cs="Arial"/>
          <w:sz w:val="24"/>
        </w:rPr>
      </w:pPr>
      <w:r w:rsidRPr="00306BDD">
        <w:rPr>
          <w:rFonts w:ascii="Arial" w:hAnsi="Arial" w:cs="Arial"/>
          <w:sz w:val="24"/>
        </w:rPr>
        <w:t>provozní náklady nezbytné pro realizaci sociální služby, které jsou identifikovatelné, účetně evidované, ověřitelné a podložené originálními dokumenty; </w:t>
      </w:r>
    </w:p>
    <w:p w:rsidR="000314D5" w:rsidRPr="00306BDD" w:rsidRDefault="000314D5" w:rsidP="000314D5">
      <w:pPr>
        <w:pStyle w:val="Odstavecseseznamem"/>
        <w:numPr>
          <w:ilvl w:val="0"/>
          <w:numId w:val="2"/>
        </w:numPr>
        <w:spacing w:after="120" w:line="360" w:lineRule="auto"/>
        <w:jc w:val="both"/>
        <w:rPr>
          <w:rFonts w:ascii="Arial" w:hAnsi="Arial" w:cs="Arial"/>
          <w:sz w:val="24"/>
        </w:rPr>
      </w:pPr>
      <w:r w:rsidRPr="00306BDD">
        <w:rPr>
          <w:rFonts w:ascii="Arial" w:hAnsi="Arial" w:cs="Arial"/>
          <w:sz w:val="24"/>
        </w:rPr>
        <w:lastRenderedPageBreak/>
        <w:t>mzdové náklady (včetně odvodů sociálního a zdravotního pojištění, které hradí   zaměstnavatel za své zaměstnance), které jsou odměnou za realizaci schválené   poskytované služby; včetně mzdových nákladů vzniklých na základě dohod</w:t>
      </w:r>
      <w:r>
        <w:rPr>
          <w:rFonts w:ascii="Arial" w:hAnsi="Arial" w:cs="Arial"/>
          <w:sz w:val="24"/>
        </w:rPr>
        <w:t xml:space="preserve"> </w:t>
      </w:r>
      <w:r w:rsidRPr="00306BDD">
        <w:rPr>
          <w:rFonts w:ascii="Arial" w:hAnsi="Arial" w:cs="Arial"/>
          <w:sz w:val="24"/>
        </w:rPr>
        <w:t>o pracích   konaných mimo pracovní poměr, se kterými se uzavře pro tento případ</w:t>
      </w:r>
      <w:r>
        <w:rPr>
          <w:rFonts w:ascii="Arial" w:hAnsi="Arial" w:cs="Arial"/>
          <w:sz w:val="24"/>
        </w:rPr>
        <w:t xml:space="preserve"> </w:t>
      </w:r>
      <w:r w:rsidRPr="00306BDD">
        <w:rPr>
          <w:rFonts w:ascii="Arial" w:hAnsi="Arial" w:cs="Arial"/>
          <w:sz w:val="24"/>
        </w:rPr>
        <w:t xml:space="preserve">a v zájmu   prokazatelnosti smlouva v rámci pracovně právního vztahu v souladu se zvláštním   právním předpisem. </w:t>
      </w:r>
    </w:p>
    <w:p w:rsidR="000314D5" w:rsidRPr="00E67D2D" w:rsidRDefault="000314D5" w:rsidP="000314D5">
      <w:pPr>
        <w:numPr>
          <w:ilvl w:val="0"/>
          <w:numId w:val="1"/>
        </w:numPr>
        <w:autoSpaceDE w:val="0"/>
        <w:autoSpaceDN w:val="0"/>
        <w:adjustRightInd w:val="0"/>
        <w:spacing w:after="120" w:line="360" w:lineRule="auto"/>
        <w:jc w:val="both"/>
        <w:rPr>
          <w:rFonts w:ascii="Arial" w:eastAsia="Times New Roman" w:hAnsi="Arial" w:cs="Arial"/>
          <w:color w:val="000000"/>
          <w:sz w:val="24"/>
          <w:szCs w:val="24"/>
          <w:lang w:eastAsia="cs-CZ"/>
        </w:rPr>
      </w:pPr>
      <w:r w:rsidRPr="00E67D2D">
        <w:rPr>
          <w:rFonts w:ascii="Arial" w:eastAsia="Times New Roman" w:hAnsi="Arial" w:cs="Arial"/>
          <w:color w:val="000000"/>
          <w:sz w:val="24"/>
          <w:szCs w:val="24"/>
          <w:lang w:eastAsia="cs-CZ"/>
        </w:rPr>
        <w:t xml:space="preserve">Z poskytnutých finančních prostředků nelze hradit náklady: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pořízení nebo technické zhodnocení hmotného a nehmotného dlouhodobého majetku   v souladu se zvláštním právním předpisem (dlouhodobým hmotným majetkem se   rozumí majetek, jehož doba použitelnosti je delší než jeden rok a vstupní cena je vyšší   než 40 000 Kč; dlouhodobým nehmotným majetkem se rozumí majetek, jehož doba   použitelnosti je delší než jeden rok a vstupní cena je vyšší než 60 000 Kč),</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odměny statutárním orgánům právnických osob (např. dozorčí rady, představenstva),</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mzdy zdravotnických pracovníků, jež jsou hrazeny zdravotními pojišťovnami,</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tvorbu zisku a základního jmění,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členské příspěvky v mezinárodních institucích,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splátky půjček a na leasingové splátky,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odpisy majetku,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výdaje spojené se zahraničními cestami,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provedení účetního či daňového auditu,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pohoštění a dary,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pokuty, penále a sankce,</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stravné zaměstnanců (kromě cestovních náhrad),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jízdné pro zaměstnance (kromě jízdních výdajů v době konání pracovní cesty),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rekondiční a rekreační pobyty (kromě socioterapeutických pobytů), </w:t>
      </w:r>
    </w:p>
    <w:p w:rsidR="000314D5" w:rsidRPr="00E67D2D" w:rsidRDefault="000314D5" w:rsidP="000314D5">
      <w:pPr>
        <w:pStyle w:val="Odstavecseseznamem"/>
        <w:numPr>
          <w:ilvl w:val="0"/>
          <w:numId w:val="2"/>
        </w:numPr>
        <w:spacing w:after="120" w:line="360" w:lineRule="auto"/>
        <w:jc w:val="both"/>
        <w:rPr>
          <w:rFonts w:ascii="Arial" w:hAnsi="Arial" w:cs="Arial"/>
          <w:sz w:val="24"/>
        </w:rPr>
      </w:pPr>
      <w:r w:rsidRPr="00E67D2D">
        <w:rPr>
          <w:rFonts w:ascii="Arial" w:hAnsi="Arial" w:cs="Arial"/>
          <w:sz w:val="24"/>
        </w:rPr>
        <w:t>na nespecifikované výdaje (tj. výdaje, které nelze účetně doložit).</w:t>
      </w:r>
    </w:p>
    <w:p w:rsidR="000314D5" w:rsidRDefault="000314D5" w:rsidP="000314D5">
      <w:pPr>
        <w:spacing w:after="0" w:line="360" w:lineRule="auto"/>
        <w:jc w:val="both"/>
        <w:rPr>
          <w:rFonts w:ascii="Arial" w:eastAsia="Times New Roman" w:hAnsi="Arial" w:cs="Arial"/>
          <w:color w:val="000000"/>
          <w:sz w:val="24"/>
          <w:szCs w:val="24"/>
          <w:lang w:eastAsia="cs-CZ"/>
        </w:rPr>
      </w:pPr>
    </w:p>
    <w:p w:rsidR="000314D5"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sidRPr="00C479DA">
        <w:rPr>
          <w:rFonts w:ascii="Arial" w:hAnsi="Arial" w:cs="Arial"/>
          <w:color w:val="000000"/>
          <w:szCs w:val="20"/>
        </w:rPr>
        <w:lastRenderedPageBreak/>
        <w:t xml:space="preserve">Možnost získání finanční dotace z rozpočtu města vyhlašuje Rada města Nymburk na základě vyčlenění finančních prostředků v rozpočtu města Nymburk. Výzva je zveřejněna internetových </w:t>
      </w:r>
      <w:r>
        <w:rPr>
          <w:rFonts w:ascii="Arial" w:hAnsi="Arial" w:cs="Arial"/>
          <w:color w:val="000000"/>
          <w:szCs w:val="20"/>
        </w:rPr>
        <w:t>úřední desce města Nymburk v minimální zákonné lhůtě</w:t>
      </w:r>
      <w:r w:rsidRPr="007C3A3D">
        <w:rPr>
          <w:rFonts w:ascii="Arial" w:hAnsi="Arial" w:cs="Arial"/>
          <w:color w:val="000000"/>
          <w:szCs w:val="20"/>
        </w:rPr>
        <w:t>.</w:t>
      </w:r>
      <w:r w:rsidRPr="00C479DA">
        <w:rPr>
          <w:rFonts w:ascii="Arial" w:hAnsi="Arial" w:cs="Arial"/>
          <w:color w:val="000000"/>
          <w:szCs w:val="20"/>
        </w:rPr>
        <w:t xml:space="preserve"> </w:t>
      </w:r>
    </w:p>
    <w:p w:rsidR="0092121B" w:rsidRPr="00E92F23" w:rsidRDefault="000314D5" w:rsidP="000314D5">
      <w:pPr>
        <w:numPr>
          <w:ilvl w:val="0"/>
          <w:numId w:val="1"/>
        </w:numPr>
        <w:autoSpaceDE w:val="0"/>
        <w:autoSpaceDN w:val="0"/>
        <w:adjustRightInd w:val="0"/>
        <w:spacing w:after="120" w:line="360" w:lineRule="auto"/>
        <w:jc w:val="both"/>
        <w:rPr>
          <w:rFonts w:ascii="Arial" w:hAnsi="Arial" w:cs="Arial"/>
          <w:color w:val="FF0000"/>
          <w:szCs w:val="20"/>
        </w:rPr>
      </w:pPr>
      <w:r w:rsidRPr="0092121B">
        <w:rPr>
          <w:rFonts w:ascii="Arial" w:hAnsi="Arial" w:cs="Arial"/>
          <w:color w:val="000000"/>
          <w:szCs w:val="20"/>
        </w:rPr>
        <w:t xml:space="preserve">Lhůta pro podání žádosti o programovou dotaci na poskytování sociálních služeb je stanovena </w:t>
      </w:r>
      <w:r w:rsidR="00F2272E">
        <w:rPr>
          <w:rFonts w:ascii="Arial" w:hAnsi="Arial" w:cs="Arial"/>
          <w:szCs w:val="20"/>
        </w:rPr>
        <w:t>do 31.</w:t>
      </w:r>
      <w:r w:rsidR="00E924B4">
        <w:rPr>
          <w:rFonts w:ascii="Arial" w:hAnsi="Arial" w:cs="Arial"/>
          <w:szCs w:val="20"/>
        </w:rPr>
        <w:t xml:space="preserve"> </w:t>
      </w:r>
      <w:bookmarkStart w:id="0" w:name="_GoBack"/>
      <w:bookmarkEnd w:id="0"/>
      <w:r w:rsidR="00F2272E">
        <w:rPr>
          <w:rFonts w:ascii="Arial" w:hAnsi="Arial" w:cs="Arial"/>
          <w:szCs w:val="20"/>
        </w:rPr>
        <w:t>1.</w:t>
      </w:r>
      <w:r w:rsidR="00E924B4">
        <w:rPr>
          <w:rFonts w:ascii="Arial" w:hAnsi="Arial" w:cs="Arial"/>
          <w:szCs w:val="20"/>
        </w:rPr>
        <w:t xml:space="preserve"> </w:t>
      </w:r>
      <w:r w:rsidR="00F2272E">
        <w:rPr>
          <w:rFonts w:ascii="Arial" w:hAnsi="Arial" w:cs="Arial"/>
          <w:szCs w:val="20"/>
        </w:rPr>
        <w:t>2018</w:t>
      </w:r>
      <w:r w:rsidR="005C0CD8">
        <w:rPr>
          <w:rFonts w:ascii="Arial" w:hAnsi="Arial" w:cs="Arial"/>
          <w:szCs w:val="20"/>
        </w:rPr>
        <w:t>.</w:t>
      </w:r>
    </w:p>
    <w:p w:rsidR="00D90206" w:rsidRPr="0080213B" w:rsidRDefault="000314D5" w:rsidP="000314D5">
      <w:pPr>
        <w:numPr>
          <w:ilvl w:val="0"/>
          <w:numId w:val="1"/>
        </w:numPr>
        <w:autoSpaceDE w:val="0"/>
        <w:autoSpaceDN w:val="0"/>
        <w:adjustRightInd w:val="0"/>
        <w:spacing w:after="120" w:line="360" w:lineRule="auto"/>
        <w:jc w:val="both"/>
        <w:rPr>
          <w:rFonts w:ascii="Arial" w:hAnsi="Arial" w:cs="Arial"/>
          <w:szCs w:val="20"/>
        </w:rPr>
      </w:pPr>
      <w:r w:rsidRPr="00D90206">
        <w:rPr>
          <w:rFonts w:ascii="Arial" w:hAnsi="Arial" w:cs="Arial"/>
          <w:color w:val="000000"/>
          <w:szCs w:val="20"/>
        </w:rPr>
        <w:t xml:space="preserve">Lhůta pro vyřízení žádosti o programovou dotaci na poskytování sociálních služeb je </w:t>
      </w:r>
      <w:r w:rsidR="000315C2" w:rsidRPr="0080213B">
        <w:rPr>
          <w:rFonts w:ascii="Arial" w:hAnsi="Arial" w:cs="Arial"/>
          <w:szCs w:val="20"/>
        </w:rPr>
        <w:t>60</w:t>
      </w:r>
      <w:r w:rsidRPr="0080213B">
        <w:rPr>
          <w:rFonts w:ascii="Arial" w:hAnsi="Arial" w:cs="Arial"/>
          <w:szCs w:val="20"/>
        </w:rPr>
        <w:t xml:space="preserve"> dní.</w:t>
      </w:r>
      <w:r w:rsidR="000315C2" w:rsidRPr="0080213B">
        <w:rPr>
          <w:rFonts w:ascii="Arial" w:hAnsi="Arial" w:cs="Arial"/>
          <w:szCs w:val="20"/>
        </w:rPr>
        <w:t xml:space="preserve"> </w:t>
      </w:r>
    </w:p>
    <w:p w:rsidR="000314D5" w:rsidRPr="00D90206"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sidRPr="00D90206">
        <w:rPr>
          <w:rFonts w:ascii="Arial" w:hAnsi="Arial" w:cs="Arial"/>
          <w:color w:val="000000"/>
          <w:szCs w:val="20"/>
        </w:rPr>
        <w:t xml:space="preserve">Žádost o programovou dotaci v sociální oblasti </w:t>
      </w:r>
      <w:r w:rsidRPr="0080213B">
        <w:rPr>
          <w:rFonts w:ascii="Arial" w:hAnsi="Arial" w:cs="Arial"/>
          <w:szCs w:val="20"/>
        </w:rPr>
        <w:t>se podává</w:t>
      </w:r>
      <w:r w:rsidR="002B3E84" w:rsidRPr="0080213B">
        <w:rPr>
          <w:rFonts w:ascii="Arial" w:hAnsi="Arial" w:cs="Arial"/>
          <w:szCs w:val="20"/>
        </w:rPr>
        <w:t xml:space="preserve"> elektronicky</w:t>
      </w:r>
      <w:r w:rsidR="00266CCE">
        <w:rPr>
          <w:rFonts w:ascii="Arial" w:hAnsi="Arial" w:cs="Arial"/>
          <w:szCs w:val="20"/>
        </w:rPr>
        <w:t xml:space="preserve"> na email</w:t>
      </w:r>
      <w:r w:rsidR="002B3E84" w:rsidRPr="0080213B">
        <w:rPr>
          <w:rFonts w:ascii="Arial" w:hAnsi="Arial" w:cs="Arial"/>
          <w:szCs w:val="20"/>
        </w:rPr>
        <w:t xml:space="preserve"> </w:t>
      </w:r>
      <w:hyperlink r:id="rId7" w:history="1">
        <w:r w:rsidR="005C0CD8" w:rsidRPr="007D5BC5">
          <w:rPr>
            <w:rStyle w:val="Hypertextovodkaz"/>
            <w:rFonts w:ascii="Arial" w:hAnsi="Arial" w:cs="Arial"/>
            <w:szCs w:val="20"/>
          </w:rPr>
          <w:t>kpssnbk@gmail.com</w:t>
        </w:r>
      </w:hyperlink>
      <w:r w:rsidR="00CC7FB1">
        <w:rPr>
          <w:rFonts w:ascii="Arial" w:hAnsi="Arial" w:cs="Arial"/>
          <w:szCs w:val="20"/>
        </w:rPr>
        <w:t xml:space="preserve"> </w:t>
      </w:r>
      <w:r w:rsidR="00835BFA">
        <w:rPr>
          <w:rFonts w:ascii="Arial" w:hAnsi="Arial" w:cs="Arial"/>
          <w:szCs w:val="20"/>
        </w:rPr>
        <w:t>a písemně</w:t>
      </w:r>
      <w:r w:rsidRPr="0080213B">
        <w:rPr>
          <w:rFonts w:ascii="Arial" w:hAnsi="Arial" w:cs="Arial"/>
          <w:szCs w:val="20"/>
        </w:rPr>
        <w:t xml:space="preserve"> </w:t>
      </w:r>
      <w:r w:rsidRPr="00D90206">
        <w:rPr>
          <w:rFonts w:ascii="Arial" w:hAnsi="Arial" w:cs="Arial"/>
          <w:color w:val="000000"/>
          <w:szCs w:val="20"/>
        </w:rPr>
        <w:t>na předepsaném formuláři a odevzdává se buď na podatelnu Městského úřadu v Nymburce sídlící na adrese Náměstí Přemyslovců 163, nebo poštou na adresu Městský úřad Nymburk, Náměstí Přemyslovců 163, 288 02 Nymburk. Při obou možnostech odevzdání je obálka označena textem „Programová dotace na poskytování sociálních služeb 201</w:t>
      </w:r>
      <w:r w:rsidR="009E06D9">
        <w:rPr>
          <w:rFonts w:ascii="Arial" w:hAnsi="Arial" w:cs="Arial"/>
          <w:color w:val="000000"/>
          <w:szCs w:val="20"/>
        </w:rPr>
        <w:t>8</w:t>
      </w:r>
      <w:r w:rsidRPr="00D90206">
        <w:rPr>
          <w:rFonts w:ascii="Arial" w:hAnsi="Arial" w:cs="Arial"/>
          <w:color w:val="000000"/>
          <w:szCs w:val="20"/>
        </w:rPr>
        <w:t>“. Jednotlivé žádosti dále eviduje Odbor sociálních věcí Městského úřadu Nymburk.</w:t>
      </w:r>
    </w:p>
    <w:p w:rsidR="000314D5"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Hodnocení žádostí o programovou dotaci zajišťuje Sociální komise RM Nymburk a ŘS KPSS Rady města Nymburk. Tyto orgány následně předávají své (ne)doporučující stanovisko RM Nymburk, která v souladu se zněním zákona o obcích schvaluje výši poskytnutých finančních prostředků, respektive doporučuje poskytnutí finančních prostředků nad 50.000 Kč ZM Nymburk.</w:t>
      </w:r>
    </w:p>
    <w:p w:rsidR="000314D5"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 xml:space="preserve">Kritéria pro přidělení programové dotace </w:t>
      </w:r>
      <w:proofErr w:type="gramStart"/>
      <w:r>
        <w:rPr>
          <w:rFonts w:ascii="Arial" w:hAnsi="Arial" w:cs="Arial"/>
          <w:color w:val="000000"/>
          <w:szCs w:val="20"/>
        </w:rPr>
        <w:t>vychází z(e):</w:t>
      </w:r>
      <w:proofErr w:type="gramEnd"/>
    </w:p>
    <w:p w:rsidR="000314D5" w:rsidRDefault="000314D5" w:rsidP="000314D5">
      <w:pPr>
        <w:pStyle w:val="Odstavecseseznamem"/>
        <w:numPr>
          <w:ilvl w:val="0"/>
          <w:numId w:val="2"/>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 xml:space="preserve">finanční hospodárnosti předložené žádosti </w:t>
      </w:r>
    </w:p>
    <w:p w:rsidR="000314D5" w:rsidRDefault="000314D5" w:rsidP="000314D5">
      <w:pPr>
        <w:pStyle w:val="Odstavecseseznamem"/>
        <w:numPr>
          <w:ilvl w:val="0"/>
          <w:numId w:val="2"/>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kvality popisu projektové žádosti</w:t>
      </w:r>
    </w:p>
    <w:p w:rsidR="008E3254" w:rsidRDefault="008E3254" w:rsidP="000314D5">
      <w:pPr>
        <w:pStyle w:val="Odstavecseseznamem"/>
        <w:numPr>
          <w:ilvl w:val="0"/>
          <w:numId w:val="2"/>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prokazatelnosti využití poskytnutých prostředků ve prospěch obyvatel města Nymburk.</w:t>
      </w:r>
    </w:p>
    <w:p w:rsidR="000314D5"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Povinnou přílohou žádosti je podepsaný souhlas se zpracováním a uchováním osobních údajů, který je součásti žádosti poskytnutí programové dotace.</w:t>
      </w:r>
    </w:p>
    <w:p w:rsidR="000314D5" w:rsidRPr="00C479DA" w:rsidRDefault="000314D5" w:rsidP="000314D5">
      <w:pPr>
        <w:numPr>
          <w:ilvl w:val="0"/>
          <w:numId w:val="1"/>
        </w:numPr>
        <w:autoSpaceDE w:val="0"/>
        <w:autoSpaceDN w:val="0"/>
        <w:adjustRightInd w:val="0"/>
        <w:spacing w:after="120" w:line="360" w:lineRule="auto"/>
        <w:jc w:val="both"/>
        <w:rPr>
          <w:rFonts w:ascii="Arial" w:hAnsi="Arial" w:cs="Arial"/>
          <w:color w:val="000000"/>
          <w:szCs w:val="20"/>
        </w:rPr>
      </w:pPr>
      <w:r>
        <w:rPr>
          <w:rFonts w:ascii="Arial" w:hAnsi="Arial" w:cs="Arial"/>
          <w:color w:val="000000"/>
          <w:szCs w:val="20"/>
        </w:rPr>
        <w:t xml:space="preserve">V případě, že žadatel splnil všechny podmínky kladené </w:t>
      </w:r>
      <w:r w:rsidR="00BF19FD">
        <w:rPr>
          <w:rFonts w:ascii="Arial" w:hAnsi="Arial" w:cs="Arial"/>
          <w:color w:val="000000"/>
          <w:szCs w:val="20"/>
        </w:rPr>
        <w:t>Zásadami</w:t>
      </w:r>
      <w:r>
        <w:rPr>
          <w:rFonts w:ascii="Arial" w:hAnsi="Arial" w:cs="Arial"/>
          <w:color w:val="000000"/>
          <w:szCs w:val="20"/>
        </w:rPr>
        <w:t xml:space="preserve"> a Pravidly, včetně schválení poskytnutí finančních prostředků příslušnými orgány města, je věcně příslušným odborem prokazatelným způsobem vyzván </w:t>
      </w:r>
      <w:r w:rsidRPr="0080213B">
        <w:rPr>
          <w:rFonts w:ascii="Arial" w:hAnsi="Arial" w:cs="Arial"/>
          <w:szCs w:val="20"/>
        </w:rPr>
        <w:t>do</w:t>
      </w:r>
      <w:r w:rsidR="0092121B" w:rsidRPr="0080213B">
        <w:rPr>
          <w:rFonts w:ascii="Arial" w:hAnsi="Arial" w:cs="Arial"/>
          <w:szCs w:val="20"/>
        </w:rPr>
        <w:t xml:space="preserve"> </w:t>
      </w:r>
      <w:r w:rsidR="000315C2" w:rsidRPr="0080213B">
        <w:rPr>
          <w:rFonts w:ascii="Arial" w:hAnsi="Arial" w:cs="Arial"/>
          <w:szCs w:val="20"/>
        </w:rPr>
        <w:t xml:space="preserve">14 </w:t>
      </w:r>
      <w:r w:rsidRPr="0080213B">
        <w:rPr>
          <w:rFonts w:ascii="Arial" w:hAnsi="Arial" w:cs="Arial"/>
          <w:szCs w:val="20"/>
        </w:rPr>
        <w:t>dní</w:t>
      </w:r>
      <w:r w:rsidR="0092121B" w:rsidRPr="0080213B">
        <w:rPr>
          <w:rFonts w:ascii="Arial" w:hAnsi="Arial" w:cs="Arial"/>
          <w:szCs w:val="20"/>
        </w:rPr>
        <w:t xml:space="preserve"> </w:t>
      </w:r>
      <w:r w:rsidR="0092121B" w:rsidRPr="0092121B">
        <w:rPr>
          <w:rFonts w:ascii="Arial" w:hAnsi="Arial" w:cs="Arial"/>
          <w:color w:val="000000" w:themeColor="text1"/>
          <w:szCs w:val="20"/>
        </w:rPr>
        <w:t>k</w:t>
      </w:r>
      <w:r w:rsidRPr="002B3E84">
        <w:rPr>
          <w:rFonts w:ascii="Arial" w:hAnsi="Arial" w:cs="Arial"/>
          <w:color w:val="FF0000"/>
          <w:szCs w:val="20"/>
        </w:rPr>
        <w:t xml:space="preserve"> </w:t>
      </w:r>
      <w:r>
        <w:rPr>
          <w:rFonts w:ascii="Arial" w:hAnsi="Arial" w:cs="Arial"/>
          <w:color w:val="000000"/>
          <w:szCs w:val="20"/>
        </w:rPr>
        <w:t>uzavření veřejnoprávní smlouvy.</w:t>
      </w:r>
    </w:p>
    <w:p w:rsidR="000314D5" w:rsidRPr="00DA3568" w:rsidRDefault="000314D5" w:rsidP="000314D5">
      <w:pPr>
        <w:spacing w:after="0" w:line="360" w:lineRule="auto"/>
        <w:jc w:val="both"/>
        <w:rPr>
          <w:rFonts w:ascii="Arial" w:eastAsia="Times New Roman" w:hAnsi="Arial" w:cs="Arial"/>
          <w:color w:val="000000"/>
          <w:sz w:val="24"/>
          <w:szCs w:val="24"/>
          <w:lang w:eastAsia="cs-CZ"/>
        </w:rPr>
      </w:pPr>
    </w:p>
    <w:p w:rsidR="000314D5" w:rsidRDefault="000314D5" w:rsidP="000314D5">
      <w:pPr>
        <w:pStyle w:val="Odstavecseseznamem"/>
        <w:autoSpaceDE w:val="0"/>
        <w:autoSpaceDN w:val="0"/>
        <w:adjustRightInd w:val="0"/>
        <w:spacing w:after="0" w:line="360" w:lineRule="auto"/>
        <w:rPr>
          <w:rFonts w:ascii="Arial" w:hAnsi="Arial" w:cs="Arial"/>
          <w:b/>
          <w:color w:val="000000"/>
          <w:sz w:val="24"/>
          <w:szCs w:val="24"/>
        </w:rPr>
      </w:pPr>
    </w:p>
    <w:p w:rsidR="000314D5" w:rsidRDefault="000314D5" w:rsidP="000314D5">
      <w:pPr>
        <w:spacing w:after="0" w:line="360" w:lineRule="auto"/>
        <w:jc w:val="center"/>
        <w:rPr>
          <w:rFonts w:ascii="Arial" w:hAnsi="Arial" w:cs="Arial"/>
          <w:b/>
          <w:sz w:val="36"/>
          <w:szCs w:val="28"/>
        </w:rPr>
      </w:pPr>
    </w:p>
    <w:sectPr w:rsidR="00031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DE"/>
    <w:multiLevelType w:val="hybridMultilevel"/>
    <w:tmpl w:val="1312E740"/>
    <w:lvl w:ilvl="0" w:tplc="15663A70">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4BDC0960"/>
    <w:multiLevelType w:val="hybridMultilevel"/>
    <w:tmpl w:val="AF249BCC"/>
    <w:lvl w:ilvl="0" w:tplc="7D188E8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D5"/>
    <w:rsid w:val="000314D5"/>
    <w:rsid w:val="000315C2"/>
    <w:rsid w:val="00043905"/>
    <w:rsid w:val="000A3B31"/>
    <w:rsid w:val="001410C8"/>
    <w:rsid w:val="00266CCE"/>
    <w:rsid w:val="002B3E84"/>
    <w:rsid w:val="004418B9"/>
    <w:rsid w:val="004E535E"/>
    <w:rsid w:val="00567A3F"/>
    <w:rsid w:val="00596BC3"/>
    <w:rsid w:val="005C0CD8"/>
    <w:rsid w:val="006A7308"/>
    <w:rsid w:val="007123A6"/>
    <w:rsid w:val="00737103"/>
    <w:rsid w:val="0080213B"/>
    <w:rsid w:val="00835BFA"/>
    <w:rsid w:val="008E3254"/>
    <w:rsid w:val="0092121B"/>
    <w:rsid w:val="00940B71"/>
    <w:rsid w:val="009D3A5D"/>
    <w:rsid w:val="009E06D9"/>
    <w:rsid w:val="00AB7D84"/>
    <w:rsid w:val="00BF19FD"/>
    <w:rsid w:val="00C86EF3"/>
    <w:rsid w:val="00CC7FB1"/>
    <w:rsid w:val="00D60149"/>
    <w:rsid w:val="00D90206"/>
    <w:rsid w:val="00DC61F4"/>
    <w:rsid w:val="00E924B4"/>
    <w:rsid w:val="00E92F23"/>
    <w:rsid w:val="00F2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4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14D5"/>
    <w:pPr>
      <w:ind w:left="720"/>
      <w:contextualSpacing/>
    </w:pPr>
  </w:style>
  <w:style w:type="paragraph" w:styleId="Textbubliny">
    <w:name w:val="Balloon Text"/>
    <w:basedOn w:val="Normln"/>
    <w:link w:val="TextbublinyChar"/>
    <w:uiPriority w:val="99"/>
    <w:semiHidden/>
    <w:unhideWhenUsed/>
    <w:rsid w:val="000314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14D5"/>
    <w:rPr>
      <w:rFonts w:ascii="Tahoma" w:hAnsi="Tahoma" w:cs="Tahoma"/>
      <w:sz w:val="16"/>
      <w:szCs w:val="16"/>
    </w:rPr>
  </w:style>
  <w:style w:type="character" w:styleId="Hypertextovodkaz">
    <w:name w:val="Hyperlink"/>
    <w:basedOn w:val="Standardnpsmoodstavce"/>
    <w:uiPriority w:val="99"/>
    <w:unhideWhenUsed/>
    <w:rsid w:val="00CC7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4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14D5"/>
    <w:pPr>
      <w:ind w:left="720"/>
      <w:contextualSpacing/>
    </w:pPr>
  </w:style>
  <w:style w:type="paragraph" w:styleId="Textbubliny">
    <w:name w:val="Balloon Text"/>
    <w:basedOn w:val="Normln"/>
    <w:link w:val="TextbublinyChar"/>
    <w:uiPriority w:val="99"/>
    <w:semiHidden/>
    <w:unhideWhenUsed/>
    <w:rsid w:val="000314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14D5"/>
    <w:rPr>
      <w:rFonts w:ascii="Tahoma" w:hAnsi="Tahoma" w:cs="Tahoma"/>
      <w:sz w:val="16"/>
      <w:szCs w:val="16"/>
    </w:rPr>
  </w:style>
  <w:style w:type="character" w:styleId="Hypertextovodkaz">
    <w:name w:val="Hyperlink"/>
    <w:basedOn w:val="Standardnpsmoodstavce"/>
    <w:uiPriority w:val="99"/>
    <w:unhideWhenUsed/>
    <w:rsid w:val="00CC7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ssnb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D535-D756-476B-8089-F3C084C1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89DEBF90</Template>
  <TotalTime>17</TotalTime>
  <Pages>3</Pages>
  <Words>787</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vozenil</dc:creator>
  <cp:lastModifiedBy>Uzivatel</cp:lastModifiedBy>
  <cp:revision>5</cp:revision>
  <cp:lastPrinted>2016-12-12T08:26:00Z</cp:lastPrinted>
  <dcterms:created xsi:type="dcterms:W3CDTF">2017-12-06T10:25:00Z</dcterms:created>
  <dcterms:modified xsi:type="dcterms:W3CDTF">2017-12-14T11:37:00Z</dcterms:modified>
</cp:coreProperties>
</file>